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sz w:val="22"/>
          <w:szCs w:val="22"/>
        </w:rPr>
        <w:t xml:space="preserve">ZESPÓŁ SZKÓŁ CENTRUM KSZTAŁCENIA USTAWICZNEGO </w:t>
      </w:r>
      <w:r>
        <w:rPr>
          <w:rFonts w:ascii="Calibri" w:hAnsi="Calibri"/>
          <w:b/>
          <w:sz w:val="22"/>
          <w:szCs w:val="22"/>
        </w:rPr>
        <w:br/>
        <w:t>IM. STEFANA BATOREGO W KONINIE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WYMAGANIA EDUKACYJNE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  <w:u w:val="single"/>
        </w:rPr>
      </w:pPr>
    </w:p>
    <w:p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Przedmiot:      Język niemiecki</w:t>
      </w:r>
    </w:p>
    <w:p w:rsidR="00CF3EB9" w:rsidRDefault="00B8570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Klasa:    </w:t>
      </w:r>
      <w:r w:rsidR="00117ECF">
        <w:rPr>
          <w:rFonts w:ascii="Calibri" w:hAnsi="Calibri"/>
          <w:b/>
          <w:sz w:val="22"/>
          <w:szCs w:val="22"/>
        </w:rPr>
        <w:t>1PB, 2I, 2HP/1, 2E/2, 2P/2, 3IP, 3L/2, 3BW/1, 4L, 4I/1, 4HE/1, 4BW, 5L, 5HE/1</w:t>
      </w:r>
    </w:p>
    <w:p w:rsidR="00CF3EB9" w:rsidRDefault="00117E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Rok szkolny:   2024</w:t>
      </w:r>
      <w:r w:rsidR="00C005C6">
        <w:rPr>
          <w:rFonts w:ascii="Calibri" w:hAnsi="Calibri"/>
          <w:b/>
          <w:sz w:val="22"/>
          <w:szCs w:val="22"/>
        </w:rPr>
        <w:t>/202</w:t>
      </w:r>
      <w:r>
        <w:rPr>
          <w:rFonts w:ascii="Calibri" w:hAnsi="Calibri"/>
          <w:b/>
          <w:sz w:val="22"/>
          <w:szCs w:val="22"/>
        </w:rPr>
        <w:t>5</w:t>
      </w:r>
    </w:p>
    <w:p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Opracowanie:  Małgorzata </w:t>
      </w:r>
      <w:proofErr w:type="spellStart"/>
      <w:r>
        <w:rPr>
          <w:rFonts w:ascii="Calibri" w:hAnsi="Calibri"/>
          <w:b/>
          <w:sz w:val="22"/>
          <w:szCs w:val="22"/>
        </w:rPr>
        <w:t>Garbaciak</w:t>
      </w:r>
      <w:proofErr w:type="spellEnd"/>
    </w:p>
    <w:p w:rsidR="00CF3EB9" w:rsidRDefault="00CF3EB9">
      <w:pPr>
        <w:spacing w:line="360" w:lineRule="auto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 wyniku procesu kształcenia uczeń powinien: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kształtować pozytywne postawy względem języka oraz społeczności niemieckojęzycznych,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umiejętności samodzielnego uczenia się, krytycznego myślenia, komunikacji oraz korzystania z nowych technologii,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przygotować się do egzaminu maturalnego z języka niemieckiego na poziomie podstawowym,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umiejętność korzystania z różnych źródeł informacji.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dopuszczającą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podstawowe informacje zawarte w tekście, rozróżniać informacje prawdziwe od fałszywych, potrafi wskazać temat wysłuchanego tekstu,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wypowiedzi na określony temat, posługiwać się środkami językowymi w stopniu elementarnym,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stosować ubogie słownictwo, nieporadnie używać struktur składniowych, popełnić liczne błędy językowe, które znacznie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tworzyć wypowiedź w dużym stopniu niespójną, stosować liczne powtórzenia, popełniać liczne błędy gramatyczne i leksykalne,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popełniać liczne błędy, mieć problemy ze zrozumieniem czytanego tekstu.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dostrzegać błędy i potrafić je poprawić, potrafić korzystać ze słownika dwujęzycznego.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dostateczną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wymienić podstawowe informacje zawarte w tekście, określić ogólny sens wysłuchanego tekstu, określić jego problematykę,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wypowiedź częściowo zgodną z tematem, popełniać dość liczne błędy językowe,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słabo rozumieć czytany tekst i być w stanie posługiwać się informacjami w stopniu średnio zaawansowanym,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poprawić tekst mówiony lub pisany, potrafi korzystać ze słowników i innych źródeł informacji, w tym również elektronicznych.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lastRenderedPageBreak/>
        <w:t>Na ocenę dobrą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omawiać temat częściowo trafnie dobierając argumenty, popełniać nieliczne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dobrze rozumie czytany tekst i dokonać kompozycji tekstów,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rozumieć i potrafić skomentować fakty </w:t>
      </w:r>
      <w:proofErr w:type="spellStart"/>
      <w:r>
        <w:rPr>
          <w:rFonts w:ascii="Calibri" w:eastAsiaTheme="minorHAnsi" w:hAnsi="Calibri"/>
          <w:sz w:val="22"/>
          <w:szCs w:val="22"/>
          <w:lang w:eastAsia="en-US"/>
        </w:rPr>
        <w:t>socjokulturowe</w:t>
      </w:r>
      <w:proofErr w:type="spellEnd"/>
      <w:r>
        <w:rPr>
          <w:rFonts w:ascii="Calibri" w:eastAsiaTheme="minorHAnsi" w:hAnsi="Calibri"/>
          <w:sz w:val="22"/>
          <w:szCs w:val="22"/>
          <w:lang w:eastAsia="en-US"/>
        </w:rPr>
        <w:t>, typowe dla obszaru języka nauczanego, w tym zwyczaje, tradycje i literaturę,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wykazywać się aktywn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znajomości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leksyki wykraczającą poza wymagania programowe przewidziane dla danej klasy (może je nabyć, wykonuj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zadania dodatkowe),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budować płynne wypowiedzi z zachowaniem poprawno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gramatycznej i fonetycznej,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 pełni rozumieć wypowiedź i potrafi poprawnie na 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zareagowa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stosując środki leksykalne i gramatyczne adekwatne do konkretnej sytuacji komunikacyjnej,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potrafić płynnie oraz poprawnie pod względem fonetycznym czyta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teksty (bez przygotowania), rozumieć jednocze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 xml:space="preserve">nie ich treść, taką </w:t>
      </w:r>
      <w:proofErr w:type="spellStart"/>
      <w:r>
        <w:rPr>
          <w:rFonts w:ascii="Calibri" w:hAnsi="Calibri"/>
          <w:sz w:val="22"/>
          <w:szCs w:val="22"/>
        </w:rPr>
        <w:t>umiejętnościąwykazuje</w:t>
      </w:r>
      <w:proofErr w:type="spellEnd"/>
      <w:r>
        <w:rPr>
          <w:rFonts w:ascii="Calibri" w:hAnsi="Calibri"/>
          <w:sz w:val="22"/>
          <w:szCs w:val="22"/>
        </w:rPr>
        <w:t xml:space="preserve"> się </w:t>
      </w:r>
      <w:proofErr w:type="spellStart"/>
      <w:r>
        <w:rPr>
          <w:rFonts w:ascii="Calibri" w:hAnsi="Calibri"/>
          <w:sz w:val="22"/>
          <w:szCs w:val="22"/>
        </w:rPr>
        <w:t>równieżw</w:t>
      </w:r>
      <w:proofErr w:type="spellEnd"/>
      <w:r>
        <w:rPr>
          <w:rFonts w:ascii="Calibri" w:hAnsi="Calibri"/>
          <w:sz w:val="22"/>
          <w:szCs w:val="22"/>
        </w:rPr>
        <w:t xml:space="preserve"> przypadku tekstów fachowych i formalnych,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 samodzielnie redagować różne typy wypowiedzi pisemnych, przewidzianych programem danej klasy, zachowuj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odpowiedni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formę i kompozycję oraz poprawność ortograficzną,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- uzyskiwać z testów 100% punktów,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brać udział w konkursach szkolnych i pozaszkolnych.</w:t>
      </w:r>
    </w:p>
    <w:p w:rsidR="00CF3EB9" w:rsidRDefault="00C005C6">
      <w:pPr>
        <w:spacing w:line="360" w:lineRule="auto"/>
        <w:ind w:left="181" w:hanging="181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Uczeń otrzyma ocenę niedostateczną, jeżeli: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wykazuje brak opanowania słownictwa,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wypowiedzi ustne i pisemne ucznia zawieraj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liczne błędy uniemożliwiające komunikatywność, są niepoprawne pod względem formy, kompozycji, są nie na temat lub nie zostały stworzone samodzielnie,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uczeń nie potrafi zrozumieć wypowiedzi w języku obcym i zareagować na nią nawet przy pomocy nauczyciela,</w:t>
      </w:r>
    </w:p>
    <w:p w:rsidR="00CF3EB9" w:rsidRDefault="00C005C6" w:rsidP="00A852A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nie potrafi płynnie przeczytać tekstu w języku obcym, </w:t>
      </w:r>
      <w:r w:rsidR="00A852A0">
        <w:rPr>
          <w:rFonts w:ascii="Calibri" w:hAnsi="Calibri"/>
          <w:sz w:val="22"/>
          <w:szCs w:val="22"/>
        </w:rPr>
        <w:t>nie rozumie również jego treści.</w:t>
      </w:r>
    </w:p>
    <w:p w:rsidR="00CF3EB9" w:rsidRDefault="00CF3EB9">
      <w:pPr>
        <w:tabs>
          <w:tab w:val="left" w:pos="419"/>
        </w:tabs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Skala ocen z testów    i kartkówek</w:t>
      </w:r>
    </w:p>
    <w:tbl>
      <w:tblPr>
        <w:tblW w:w="8505" w:type="dxa"/>
        <w:tblInd w:w="952" w:type="dxa"/>
        <w:tblLayout w:type="fixed"/>
        <w:tblLook w:val="04A0" w:firstRow="1" w:lastRow="0" w:firstColumn="1" w:lastColumn="0" w:noHBand="0" w:noVBand="1"/>
      </w:tblPr>
      <w:tblGrid>
        <w:gridCol w:w="4756"/>
        <w:gridCol w:w="3749"/>
      </w:tblGrid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Uzyskany wynik (%)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– 39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40-50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51-75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76-90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91-100</w:t>
            </w:r>
          </w:p>
        </w:tc>
        <w:tc>
          <w:tcPr>
            <w:tcW w:w="3749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100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Przyporządkowanie uzyskanej średniej śródrocznej i rocznej ocenie klasyfikacyjnej:</w:t>
      </w:r>
      <w:r>
        <w:rPr>
          <w:rFonts w:ascii="Calibri" w:hAnsi="Calibri"/>
          <w:b/>
          <w:sz w:val="22"/>
          <w:szCs w:val="22"/>
        </w:rPr>
        <w:br/>
      </w:r>
    </w:p>
    <w:tbl>
      <w:tblPr>
        <w:tblW w:w="6237" w:type="dxa"/>
        <w:tblInd w:w="4140" w:type="dxa"/>
        <w:tblLayout w:type="fixed"/>
        <w:tblLook w:val="04A0" w:firstRow="1" w:lastRow="0" w:firstColumn="1" w:lastColumn="0" w:noHBand="0" w:noVBand="1"/>
      </w:tblPr>
      <w:tblGrid>
        <w:gridCol w:w="2749"/>
        <w:gridCol w:w="3488"/>
      </w:tblGrid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Średnia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0 - 1,74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1,75 - 2,74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2,75 - 3,74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3,75 - 4,74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4,75 - 5,0</w:t>
            </w:r>
          </w:p>
        </w:tc>
        <w:tc>
          <w:tcPr>
            <w:tcW w:w="3487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5,0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Uzyskana średnia ocen jest tylko wskazówką dla nauczyciela przy ustalaniu oceny półrocznej i </w:t>
      </w:r>
      <w:proofErr w:type="spellStart"/>
      <w:r>
        <w:rPr>
          <w:rFonts w:ascii="Calibri" w:hAnsi="Calibri"/>
          <w:sz w:val="22"/>
          <w:szCs w:val="22"/>
        </w:rPr>
        <w:t>końcoworocznej</w:t>
      </w:r>
      <w:proofErr w:type="spellEnd"/>
      <w:r>
        <w:rPr>
          <w:rFonts w:ascii="Calibri" w:hAnsi="Calibri"/>
          <w:sz w:val="22"/>
          <w:szCs w:val="22"/>
        </w:rPr>
        <w:t>.</w:t>
      </w: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nieobecności na sprawdzianach pisemnych uczeń ma obowiązek zgłosić się do nauczyciela na najbliższej lekcji, na której jest obecny w celu ustalenia trybu i terminu napisania sprawdzianu. W razie nie zgłoszenia się w ustalonym terminie, uczeń otrzymuje 1.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>Praca niesamodzielna</w:t>
      </w:r>
      <w:r>
        <w:rPr>
          <w:rFonts w:ascii="Calibri" w:hAnsi="Calibri"/>
          <w:sz w:val="22"/>
          <w:szCs w:val="22"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 </w:t>
      </w:r>
    </w:p>
    <w:p w:rsidR="00117ECF" w:rsidRDefault="00C005C6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Cząstkowe oceny ustalone przez nauczyciela są </w:t>
      </w:r>
      <w:r>
        <w:rPr>
          <w:rFonts w:ascii="Calibri" w:hAnsi="Calibri"/>
          <w:b/>
          <w:sz w:val="22"/>
          <w:szCs w:val="22"/>
        </w:rPr>
        <w:t>ostatecznymi</w:t>
      </w:r>
      <w:r>
        <w:rPr>
          <w:rFonts w:ascii="Calibri" w:hAnsi="Calibri"/>
          <w:sz w:val="22"/>
          <w:szCs w:val="22"/>
        </w:rPr>
        <w:t>.</w:t>
      </w:r>
    </w:p>
    <w:p w:rsidR="00A852A0" w:rsidRDefault="00A852A0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</w:p>
    <w:p w:rsidR="003212E4" w:rsidRDefault="00C005C6" w:rsidP="00117ECF">
      <w:pPr>
        <w:tabs>
          <w:tab w:val="left" w:pos="4956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>FORMY SPRAWDZANIA WIADOMOŚCI I UMIEJĘTNOŚCI UCZNIA: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sprawdziany,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kartkówki,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odpowiedzi ustne,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prace domowe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aktywność na lekcji,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prezentacje,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osiągnięcia w konkursie i projekcie 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oraz fakultatywnie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95% frekwencji i powyżej na lekcjach</w:t>
      </w:r>
    </w:p>
    <w:p w:rsidR="00C005C6" w:rsidRPr="00A852A0" w:rsidRDefault="00C005C6" w:rsidP="00117ECF">
      <w:pPr>
        <w:tabs>
          <w:tab w:val="left" w:pos="4956"/>
        </w:tabs>
        <w:rPr>
          <w:rFonts w:asciiTheme="minorHAnsi" w:hAnsiTheme="minorHAnsi" w:cstheme="minorHAnsi"/>
          <w:sz w:val="22"/>
          <w:szCs w:val="22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( bardzo dobry – ocena cząstkowa)</w:t>
      </w:r>
    </w:p>
    <w:p w:rsidR="00C005C6" w:rsidRPr="00A852A0" w:rsidRDefault="00C005C6">
      <w:pPr>
        <w:tabs>
          <w:tab w:val="left" w:pos="4956"/>
        </w:tabs>
        <w:spacing w:after="200" w:line="360" w:lineRule="auto"/>
        <w:ind w:left="181" w:hanging="181"/>
        <w:jc w:val="center"/>
        <w:rPr>
          <w:rFonts w:asciiTheme="minorHAnsi" w:hAnsiTheme="minorHAnsi" w:cstheme="minorHAnsi"/>
          <w:sz w:val="20"/>
          <w:szCs w:val="20"/>
        </w:rPr>
      </w:pPr>
    </w:p>
    <w:p w:rsidR="00CF3EB9" w:rsidRPr="00117ECF" w:rsidRDefault="00CF3EB9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CF3EB9" w:rsidRPr="00117ECF" w:rsidSect="00CF3EB9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CF3EB9"/>
    <w:rsid w:val="00117ECF"/>
    <w:rsid w:val="001B6A6A"/>
    <w:rsid w:val="003212E4"/>
    <w:rsid w:val="003333C3"/>
    <w:rsid w:val="003876BC"/>
    <w:rsid w:val="0058781E"/>
    <w:rsid w:val="00A852A0"/>
    <w:rsid w:val="00B85701"/>
    <w:rsid w:val="00C005C6"/>
    <w:rsid w:val="00CF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561E1-E27A-47A9-BFCB-8548A495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F3EB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F3EB9"/>
    <w:pPr>
      <w:spacing w:after="140" w:line="276" w:lineRule="auto"/>
    </w:pPr>
  </w:style>
  <w:style w:type="paragraph" w:styleId="Lista">
    <w:name w:val="List"/>
    <w:basedOn w:val="Tekstpodstawowy"/>
    <w:rsid w:val="00CF3EB9"/>
    <w:rPr>
      <w:rFonts w:cs="Lucida Sans"/>
    </w:rPr>
  </w:style>
  <w:style w:type="paragraph" w:customStyle="1" w:styleId="Legenda1">
    <w:name w:val="Legenda1"/>
    <w:basedOn w:val="Normalny"/>
    <w:qFormat/>
    <w:rsid w:val="00CF3EB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F3EB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005C6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dc:description/>
  <cp:lastModifiedBy>Janusz Gniewkowski</cp:lastModifiedBy>
  <cp:revision>2</cp:revision>
  <dcterms:created xsi:type="dcterms:W3CDTF">2024-09-10T16:45:00Z</dcterms:created>
  <dcterms:modified xsi:type="dcterms:W3CDTF">2024-09-10T16:45:00Z</dcterms:modified>
  <dc:language>pl-PL</dc:language>
</cp:coreProperties>
</file>